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0481A" w14:textId="77777777" w:rsidR="00E14D9E" w:rsidRPr="00CF48E3" w:rsidRDefault="00E14D9E" w:rsidP="00834C2A">
      <w:pPr>
        <w:jc w:val="both"/>
        <w:rPr>
          <w:rFonts w:ascii="Dubai" w:hAnsi="Dubai" w:cs="Dubai"/>
          <w:b/>
          <w:sz w:val="32"/>
          <w:szCs w:val="32"/>
        </w:rPr>
      </w:pPr>
      <w:r w:rsidRPr="00CF48E3">
        <w:rPr>
          <w:rFonts w:ascii="Dubai" w:hAnsi="Dubai" w:cs="Dubai"/>
          <w:b/>
          <w:sz w:val="32"/>
          <w:szCs w:val="32"/>
        </w:rPr>
        <w:t>Información   Complementaria:</w:t>
      </w:r>
    </w:p>
    <w:p w14:paraId="005AD6F4" w14:textId="63FAF1CF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Estimaciones sobr</w:t>
      </w:r>
      <w:r w:rsidR="00F541E7" w:rsidRPr="00CF48E3">
        <w:rPr>
          <w:rFonts w:ascii="Dubai" w:hAnsi="Dubai" w:cs="Dubai"/>
          <w:sz w:val="20"/>
          <w:szCs w:val="20"/>
        </w:rPr>
        <w:t>e Proyecciones Plurianuales 202</w:t>
      </w:r>
      <w:r w:rsidR="004D2A52" w:rsidRPr="00CF48E3">
        <w:rPr>
          <w:rFonts w:ascii="Dubai" w:hAnsi="Dubai" w:cs="Dubai"/>
          <w:sz w:val="20"/>
          <w:szCs w:val="20"/>
        </w:rPr>
        <w:t>5</w:t>
      </w:r>
      <w:r w:rsidR="00F541E7" w:rsidRPr="00CF48E3">
        <w:rPr>
          <w:rFonts w:ascii="Dubai" w:hAnsi="Dubai" w:cs="Dubai"/>
          <w:sz w:val="20"/>
          <w:szCs w:val="20"/>
        </w:rPr>
        <w:t>-202</w:t>
      </w:r>
      <w:r w:rsidR="004D2A52" w:rsidRPr="00CF48E3">
        <w:rPr>
          <w:rFonts w:ascii="Dubai" w:hAnsi="Dubai" w:cs="Dubai"/>
          <w:sz w:val="20"/>
          <w:szCs w:val="20"/>
        </w:rPr>
        <w:t>7</w:t>
      </w:r>
      <w:r w:rsidR="00F541E7" w:rsidRPr="00CF48E3">
        <w:rPr>
          <w:rFonts w:ascii="Dubai" w:hAnsi="Dubai" w:cs="Dubai"/>
          <w:sz w:val="20"/>
          <w:szCs w:val="20"/>
        </w:rPr>
        <w:t xml:space="preserve"> y Costos Tributarios 202</w:t>
      </w:r>
      <w:r w:rsidR="004D2A52" w:rsidRPr="00CF48E3">
        <w:rPr>
          <w:rFonts w:ascii="Dubai" w:hAnsi="Dubai" w:cs="Dubai"/>
          <w:sz w:val="20"/>
          <w:szCs w:val="20"/>
        </w:rPr>
        <w:t>5</w:t>
      </w:r>
    </w:p>
    <w:p w14:paraId="37F50963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 xml:space="preserve">A efectos de cumplir con lo establecido en el Decreto </w:t>
      </w:r>
      <w:r w:rsidR="00DA12AA" w:rsidRPr="00CF48E3">
        <w:rPr>
          <w:rFonts w:ascii="Dubai" w:hAnsi="Dubai" w:cs="Dubai"/>
          <w:sz w:val="20"/>
          <w:szCs w:val="20"/>
        </w:rPr>
        <w:t>Reglamentario Nro.</w:t>
      </w:r>
      <w:r w:rsidRPr="00CF48E3">
        <w:rPr>
          <w:rFonts w:ascii="Dubai" w:hAnsi="Dubai" w:cs="Dubai"/>
          <w:sz w:val="20"/>
          <w:szCs w:val="20"/>
        </w:rPr>
        <w:t xml:space="preserve"> 2980/00</w:t>
      </w:r>
    </w:p>
    <w:p w14:paraId="4E75DE07" w14:textId="77777777" w:rsidR="00E14D9E" w:rsidRPr="00CF48E3" w:rsidRDefault="00357DF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(Art. 3 y Ar</w:t>
      </w:r>
      <w:r w:rsidR="00E14D9E" w:rsidRPr="00CF48E3">
        <w:rPr>
          <w:rFonts w:ascii="Dubai" w:hAnsi="Dubai" w:cs="Dubai"/>
          <w:sz w:val="20"/>
          <w:szCs w:val="20"/>
        </w:rPr>
        <w:t xml:space="preserve">t. 7) de la Ley </w:t>
      </w:r>
      <w:r w:rsidR="00BC4A46" w:rsidRPr="00CF48E3">
        <w:rPr>
          <w:rFonts w:ascii="Dubai" w:hAnsi="Dubai" w:cs="Dubai"/>
          <w:sz w:val="20"/>
          <w:szCs w:val="20"/>
        </w:rPr>
        <w:t>13.295, se describen a</w:t>
      </w:r>
      <w:r w:rsidR="00E14D9E" w:rsidRPr="00CF48E3">
        <w:rPr>
          <w:rFonts w:ascii="Dubai" w:hAnsi="Dubai" w:cs="Dubai"/>
          <w:sz w:val="20"/>
          <w:szCs w:val="20"/>
        </w:rPr>
        <w:t xml:space="preserve"> continuación los criterios que sustentan las proyecciones plurianuales y la metodología utilizada para la obtención de los gastos tributados.</w:t>
      </w:r>
    </w:p>
    <w:p w14:paraId="406A0106" w14:textId="5E11FB66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 xml:space="preserve">Vale destacar que este documento es de carácter sintético e </w:t>
      </w:r>
      <w:r w:rsidR="00DA12AA" w:rsidRPr="00CF48E3">
        <w:rPr>
          <w:rFonts w:ascii="Dubai" w:hAnsi="Dubai" w:cs="Dubai"/>
          <w:sz w:val="20"/>
          <w:szCs w:val="20"/>
        </w:rPr>
        <w:t xml:space="preserve">informativo. </w:t>
      </w:r>
    </w:p>
    <w:p w14:paraId="3DB620FE" w14:textId="77777777" w:rsidR="00E14D9E" w:rsidRPr="00CF48E3" w:rsidRDefault="00E14D9E" w:rsidP="00834C2A">
      <w:pPr>
        <w:jc w:val="both"/>
        <w:rPr>
          <w:rFonts w:ascii="Dubai" w:hAnsi="Dubai" w:cs="Dubai"/>
          <w:b/>
          <w:sz w:val="20"/>
          <w:szCs w:val="20"/>
        </w:rPr>
      </w:pPr>
      <w:r w:rsidRPr="00CF48E3">
        <w:rPr>
          <w:rFonts w:ascii="Dubai" w:hAnsi="Dubai" w:cs="Dubai"/>
          <w:b/>
          <w:sz w:val="20"/>
          <w:szCs w:val="20"/>
        </w:rPr>
        <w:t>Proyecciones Plurianuales</w:t>
      </w:r>
    </w:p>
    <w:p w14:paraId="0F1C73A3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Recursos:</w:t>
      </w:r>
    </w:p>
    <w:p w14:paraId="27534F72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Los ingresos No Tributarios se calcularon de acuerdo a los recursos percibidos du</w:t>
      </w:r>
      <w:r w:rsidR="00072CA4" w:rsidRPr="00CF48E3">
        <w:rPr>
          <w:rFonts w:ascii="Dubai" w:hAnsi="Dubai" w:cs="Dubai"/>
          <w:sz w:val="20"/>
          <w:szCs w:val="20"/>
        </w:rPr>
        <w:t>rante los ejercicios anteriores y los</w:t>
      </w:r>
      <w:r w:rsidRPr="00CF48E3">
        <w:rPr>
          <w:rFonts w:ascii="Dubai" w:hAnsi="Dubai" w:cs="Dubai"/>
          <w:sz w:val="20"/>
          <w:szCs w:val="20"/>
        </w:rPr>
        <w:t xml:space="preserve"> porcentaje</w:t>
      </w:r>
      <w:r w:rsidR="00072CA4" w:rsidRPr="00CF48E3">
        <w:rPr>
          <w:rFonts w:ascii="Dubai" w:hAnsi="Dubai" w:cs="Dubai"/>
          <w:sz w:val="20"/>
          <w:szCs w:val="20"/>
        </w:rPr>
        <w:t>s</w:t>
      </w:r>
      <w:r w:rsidRPr="00CF48E3">
        <w:rPr>
          <w:rFonts w:ascii="Dubai" w:hAnsi="Dubai" w:cs="Dubai"/>
          <w:sz w:val="20"/>
          <w:szCs w:val="20"/>
        </w:rPr>
        <w:t xml:space="preserve"> de cobrabilidad de cada tasa</w:t>
      </w:r>
      <w:r w:rsidR="00072CA4" w:rsidRPr="00CF48E3">
        <w:rPr>
          <w:rFonts w:ascii="Dubai" w:hAnsi="Dubai" w:cs="Dubai"/>
          <w:sz w:val="20"/>
          <w:szCs w:val="20"/>
        </w:rPr>
        <w:t xml:space="preserve">. Se prevé que </w:t>
      </w:r>
      <w:r w:rsidR="00DA12AA" w:rsidRPr="00CF48E3">
        <w:rPr>
          <w:rFonts w:ascii="Dubai" w:hAnsi="Dubai" w:cs="Dubai"/>
          <w:sz w:val="20"/>
          <w:szCs w:val="20"/>
        </w:rPr>
        <w:t>las políticas</w:t>
      </w:r>
      <w:r w:rsidR="00072CA4" w:rsidRPr="00CF48E3">
        <w:rPr>
          <w:rFonts w:ascii="Dubai" w:hAnsi="Dubai" w:cs="Dubai"/>
          <w:sz w:val="20"/>
          <w:szCs w:val="20"/>
        </w:rPr>
        <w:t xml:space="preserve"> fiscales, impositivas y de gestión</w:t>
      </w:r>
      <w:r w:rsidRPr="00CF48E3">
        <w:rPr>
          <w:rFonts w:ascii="Dubai" w:hAnsi="Dubai" w:cs="Dubai"/>
          <w:sz w:val="20"/>
          <w:szCs w:val="20"/>
        </w:rPr>
        <w:t xml:space="preserve"> a ponerse en </w:t>
      </w:r>
      <w:r w:rsidR="00F541E7" w:rsidRPr="00CF48E3">
        <w:rPr>
          <w:rFonts w:ascii="Dubai" w:hAnsi="Dubai" w:cs="Dubai"/>
          <w:sz w:val="20"/>
          <w:szCs w:val="20"/>
        </w:rPr>
        <w:t>marcha durante el ejercicio 202</w:t>
      </w:r>
      <w:r w:rsidR="00114CDE" w:rsidRPr="00CF48E3">
        <w:rPr>
          <w:rFonts w:ascii="Dubai" w:hAnsi="Dubai" w:cs="Dubai"/>
          <w:sz w:val="20"/>
          <w:szCs w:val="20"/>
        </w:rPr>
        <w:t>3</w:t>
      </w:r>
      <w:r w:rsidR="00072CA4" w:rsidRPr="00CF48E3">
        <w:rPr>
          <w:rFonts w:ascii="Dubai" w:hAnsi="Dubai" w:cs="Dubai"/>
          <w:sz w:val="20"/>
          <w:szCs w:val="20"/>
        </w:rPr>
        <w:t xml:space="preserve"> redundarán en una mejora de la recaudación, incrementando los índices de cobrabilidad.  S</w:t>
      </w:r>
      <w:r w:rsidRPr="00CF48E3">
        <w:rPr>
          <w:rFonts w:ascii="Dubai" w:hAnsi="Dubai" w:cs="Dubai"/>
          <w:sz w:val="20"/>
          <w:szCs w:val="20"/>
        </w:rPr>
        <w:t>imilares políticas tributarias</w:t>
      </w:r>
      <w:r w:rsidR="00072CA4" w:rsidRPr="00CF48E3">
        <w:rPr>
          <w:rFonts w:ascii="Dubai" w:hAnsi="Dubai" w:cs="Dubai"/>
          <w:sz w:val="20"/>
          <w:szCs w:val="20"/>
        </w:rPr>
        <w:t xml:space="preserve"> se </w:t>
      </w:r>
      <w:r w:rsidR="00DA12AA" w:rsidRPr="00CF48E3">
        <w:rPr>
          <w:rFonts w:ascii="Dubai" w:hAnsi="Dubai" w:cs="Dubai"/>
          <w:sz w:val="20"/>
          <w:szCs w:val="20"/>
        </w:rPr>
        <w:t>proyectan paro</w:t>
      </w:r>
      <w:r w:rsidRPr="00CF48E3">
        <w:rPr>
          <w:rFonts w:ascii="Dubai" w:hAnsi="Dubai" w:cs="Dubai"/>
          <w:sz w:val="20"/>
          <w:szCs w:val="20"/>
        </w:rPr>
        <w:t xml:space="preserve"> los </w:t>
      </w:r>
      <w:r w:rsidR="00DA12AA" w:rsidRPr="00CF48E3">
        <w:rPr>
          <w:rFonts w:ascii="Dubai" w:hAnsi="Dubai" w:cs="Dubai"/>
          <w:sz w:val="20"/>
          <w:szCs w:val="20"/>
        </w:rPr>
        <w:t>años venideros. -</w:t>
      </w:r>
    </w:p>
    <w:p w14:paraId="37D658AD" w14:textId="551E859D" w:rsidR="009363ED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La proyección 20</w:t>
      </w:r>
      <w:r w:rsidR="00F541E7" w:rsidRPr="00CF48E3">
        <w:rPr>
          <w:rFonts w:ascii="Dubai" w:hAnsi="Dubai" w:cs="Dubai"/>
          <w:sz w:val="20"/>
          <w:szCs w:val="20"/>
        </w:rPr>
        <w:t>2</w:t>
      </w:r>
      <w:r w:rsidR="004D2A52" w:rsidRPr="00CF48E3">
        <w:rPr>
          <w:rFonts w:ascii="Dubai" w:hAnsi="Dubai" w:cs="Dubai"/>
          <w:sz w:val="20"/>
          <w:szCs w:val="20"/>
        </w:rPr>
        <w:t>5</w:t>
      </w:r>
      <w:r w:rsidR="00F541E7" w:rsidRPr="00CF48E3">
        <w:rPr>
          <w:rFonts w:ascii="Dubai" w:hAnsi="Dubai" w:cs="Dubai"/>
          <w:sz w:val="20"/>
          <w:szCs w:val="20"/>
        </w:rPr>
        <w:t>-202</w:t>
      </w:r>
      <w:r w:rsidR="004D2A52" w:rsidRPr="00CF48E3">
        <w:rPr>
          <w:rFonts w:ascii="Dubai" w:hAnsi="Dubai" w:cs="Dubai"/>
          <w:sz w:val="20"/>
          <w:szCs w:val="20"/>
        </w:rPr>
        <w:t>7</w:t>
      </w:r>
      <w:r w:rsidR="00072CA4" w:rsidRPr="00CF48E3">
        <w:rPr>
          <w:rFonts w:ascii="Dubai" w:hAnsi="Dubai" w:cs="Dubai"/>
          <w:sz w:val="20"/>
          <w:szCs w:val="20"/>
        </w:rPr>
        <w:t xml:space="preserve"> de los gastos se realizó</w:t>
      </w:r>
      <w:r w:rsidR="000616D7" w:rsidRPr="00CF48E3">
        <w:rPr>
          <w:rFonts w:ascii="Dubai" w:hAnsi="Dubai" w:cs="Dubai"/>
          <w:sz w:val="20"/>
          <w:szCs w:val="20"/>
        </w:rPr>
        <w:t xml:space="preserve"> considerando</w:t>
      </w:r>
      <w:r w:rsidRPr="00CF48E3">
        <w:rPr>
          <w:rFonts w:ascii="Dubai" w:hAnsi="Dubai" w:cs="Dubai"/>
          <w:sz w:val="20"/>
          <w:szCs w:val="20"/>
        </w:rPr>
        <w:t xml:space="preserve"> los parámetros </w:t>
      </w:r>
      <w:r w:rsidR="000616D7" w:rsidRPr="00CF48E3">
        <w:rPr>
          <w:rFonts w:ascii="Dubai" w:hAnsi="Dubai" w:cs="Dubai"/>
          <w:sz w:val="20"/>
          <w:szCs w:val="20"/>
        </w:rPr>
        <w:t>económicos establecidos por el Gobierno N</w:t>
      </w:r>
      <w:r w:rsidR="0005485C" w:rsidRPr="00CF48E3">
        <w:rPr>
          <w:rFonts w:ascii="Dubai" w:hAnsi="Dubai" w:cs="Dubai"/>
          <w:sz w:val="20"/>
          <w:szCs w:val="20"/>
        </w:rPr>
        <w:t>acional.  En cuanto a la distribución</w:t>
      </w:r>
      <w:r w:rsidR="00114CDE" w:rsidRPr="00CF48E3">
        <w:rPr>
          <w:rFonts w:ascii="Dubai" w:hAnsi="Dubai" w:cs="Dubai"/>
          <w:sz w:val="20"/>
          <w:szCs w:val="20"/>
        </w:rPr>
        <w:t xml:space="preserve"> </w:t>
      </w:r>
      <w:r w:rsidR="00DA12AA" w:rsidRPr="00CF48E3">
        <w:rPr>
          <w:rFonts w:ascii="Dubai" w:hAnsi="Dubai" w:cs="Dubai"/>
          <w:sz w:val="20"/>
          <w:szCs w:val="20"/>
        </w:rPr>
        <w:t>del gasto, se</w:t>
      </w:r>
      <w:r w:rsidR="0005485C" w:rsidRPr="00CF48E3">
        <w:rPr>
          <w:rFonts w:ascii="Dubai" w:hAnsi="Dubai" w:cs="Dubai"/>
          <w:sz w:val="20"/>
          <w:szCs w:val="20"/>
        </w:rPr>
        <w:t xml:space="preserve"> proyecta disminuir el peso de la estructura jerárquica en el mismo </w:t>
      </w:r>
      <w:r w:rsidR="00BA5A38" w:rsidRPr="00CF48E3">
        <w:rPr>
          <w:rFonts w:ascii="Dubai" w:hAnsi="Dubai" w:cs="Dubai"/>
          <w:sz w:val="20"/>
          <w:szCs w:val="20"/>
        </w:rPr>
        <w:t>de manera de</w:t>
      </w:r>
      <w:r w:rsidR="00114CDE" w:rsidRPr="00CF48E3">
        <w:rPr>
          <w:rFonts w:ascii="Dubai" w:hAnsi="Dubai" w:cs="Dubai"/>
          <w:sz w:val="20"/>
          <w:szCs w:val="20"/>
        </w:rPr>
        <w:t xml:space="preserve"> </w:t>
      </w:r>
      <w:r w:rsidR="00BA5A38" w:rsidRPr="00CF48E3">
        <w:rPr>
          <w:rFonts w:ascii="Dubai" w:hAnsi="Dubai" w:cs="Dubai"/>
          <w:sz w:val="20"/>
          <w:szCs w:val="20"/>
        </w:rPr>
        <w:t xml:space="preserve">incrementar con este </w:t>
      </w:r>
      <w:r w:rsidR="00DA12AA" w:rsidRPr="00CF48E3">
        <w:rPr>
          <w:rFonts w:ascii="Dubai" w:hAnsi="Dubai" w:cs="Dubai"/>
          <w:sz w:val="20"/>
          <w:szCs w:val="20"/>
        </w:rPr>
        <w:t>ahorro las</w:t>
      </w:r>
      <w:r w:rsidR="00BA5A38" w:rsidRPr="00CF48E3">
        <w:rPr>
          <w:rFonts w:ascii="Dubai" w:hAnsi="Dubai" w:cs="Dubai"/>
          <w:sz w:val="20"/>
          <w:szCs w:val="20"/>
        </w:rPr>
        <w:t xml:space="preserve"> partidas destinadas al funcionamiento operativo de las distintas secretarías.</w:t>
      </w:r>
    </w:p>
    <w:p w14:paraId="3514B5EC" w14:textId="77777777" w:rsidR="009363ED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 xml:space="preserve">Se expone la información </w:t>
      </w:r>
      <w:r w:rsidR="000616D7" w:rsidRPr="00CF48E3">
        <w:rPr>
          <w:rFonts w:ascii="Dubai" w:hAnsi="Dubai" w:cs="Dubai"/>
          <w:sz w:val="20"/>
          <w:szCs w:val="20"/>
        </w:rPr>
        <w:t>en la</w:t>
      </w:r>
      <w:r w:rsidRPr="00CF48E3">
        <w:rPr>
          <w:rFonts w:ascii="Dubai" w:hAnsi="Dubai" w:cs="Dubai"/>
          <w:sz w:val="20"/>
          <w:szCs w:val="20"/>
        </w:rPr>
        <w:t xml:space="preserve"> planilla anex</w:t>
      </w:r>
      <w:r w:rsidR="00AD0CFC" w:rsidRPr="00CF48E3">
        <w:rPr>
          <w:rFonts w:ascii="Dubai" w:hAnsi="Dubai" w:cs="Dubai"/>
          <w:sz w:val="20"/>
          <w:szCs w:val="20"/>
        </w:rPr>
        <w:t>a</w:t>
      </w:r>
    </w:p>
    <w:p w14:paraId="7693E6BD" w14:textId="77777777" w:rsidR="00E14D9E" w:rsidRPr="00CF48E3" w:rsidRDefault="00E14D9E" w:rsidP="00834C2A">
      <w:pPr>
        <w:jc w:val="both"/>
        <w:rPr>
          <w:rFonts w:ascii="Dubai" w:hAnsi="Dubai" w:cs="Dubai"/>
          <w:b/>
          <w:sz w:val="20"/>
          <w:szCs w:val="20"/>
        </w:rPr>
      </w:pPr>
      <w:r w:rsidRPr="00CF48E3">
        <w:rPr>
          <w:rFonts w:ascii="Dubai" w:hAnsi="Dubai" w:cs="Dubai"/>
          <w:b/>
          <w:sz w:val="20"/>
          <w:szCs w:val="20"/>
        </w:rPr>
        <w:t>Gastos tributarios</w:t>
      </w:r>
    </w:p>
    <w:p w14:paraId="2307CFDB" w14:textId="77777777" w:rsidR="00E14D9E" w:rsidRPr="00CF48E3" w:rsidRDefault="00BA5A38" w:rsidP="00834C2A">
      <w:pPr>
        <w:jc w:val="both"/>
        <w:rPr>
          <w:rFonts w:ascii="Dubai" w:hAnsi="Dubai" w:cs="Dubai"/>
          <w:b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Los gastos tributarios, entendidos como aquella recaudación que el fisco deja de percibir en virtud de la aplicación de concesiones o regímenes impositivos especiales, es una de las varias herramientas de que disponen los gobiernos para ejecutar sus políticas públicas. Su finalidad es favorecer o estimular a determinados sectores, actividades, regiones o agentes de la economía.</w:t>
      </w:r>
    </w:p>
    <w:p w14:paraId="7DBDCD4F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La Ordenanza Fiscal vigente define las siguientes concesiones:</w:t>
      </w:r>
    </w:p>
    <w:p w14:paraId="757A5E36" w14:textId="743B4654" w:rsidR="00E14D9E" w:rsidRPr="00CF48E3" w:rsidRDefault="00DA12AA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Artículo 61</w:t>
      </w:r>
      <w:r w:rsidR="00E14D9E" w:rsidRPr="00CF48E3">
        <w:rPr>
          <w:rFonts w:ascii="Dubai" w:hAnsi="Dubai" w:cs="Dubai"/>
          <w:sz w:val="20"/>
          <w:szCs w:val="20"/>
        </w:rPr>
        <w:t xml:space="preserve">: Exenciones: </w:t>
      </w:r>
      <w:r w:rsidR="004D2A52" w:rsidRPr="00CF48E3">
        <w:rPr>
          <w:rFonts w:ascii="Dubai" w:hAnsi="Dubai" w:cs="Dubai"/>
          <w:sz w:val="20"/>
          <w:szCs w:val="20"/>
        </w:rPr>
        <w:t>de acuerdo a la ordenanza 10714/2024</w:t>
      </w:r>
    </w:p>
    <w:p w14:paraId="1DF59404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 xml:space="preserve">Art. </w:t>
      </w:r>
      <w:r w:rsidR="00DA12AA" w:rsidRPr="00CF48E3">
        <w:rPr>
          <w:rFonts w:ascii="Dubai" w:hAnsi="Dubai" w:cs="Dubai"/>
          <w:sz w:val="20"/>
          <w:szCs w:val="20"/>
        </w:rPr>
        <w:t>110:  ...</w:t>
      </w:r>
      <w:r w:rsidRPr="00CF48E3">
        <w:rPr>
          <w:rFonts w:ascii="Dubai" w:hAnsi="Dubai" w:cs="Dubai"/>
          <w:sz w:val="20"/>
          <w:szCs w:val="20"/>
        </w:rPr>
        <w:t xml:space="preserve"> f) </w:t>
      </w:r>
      <w:r w:rsidR="00357DFE" w:rsidRPr="00CF48E3">
        <w:rPr>
          <w:rFonts w:ascii="Dubai" w:hAnsi="Dubai" w:cs="Dubai"/>
          <w:sz w:val="20"/>
          <w:szCs w:val="20"/>
        </w:rPr>
        <w:t>A</w:t>
      </w:r>
      <w:r w:rsidRPr="00CF48E3">
        <w:rPr>
          <w:rFonts w:ascii="Dubai" w:hAnsi="Dubai" w:cs="Dubai"/>
          <w:sz w:val="20"/>
          <w:szCs w:val="20"/>
        </w:rPr>
        <w:t xml:space="preserve">l momento de la renovación de la habilitación: aquellos contribuyentes que al momento de renovar la habilitación inicien el </w:t>
      </w:r>
      <w:r w:rsidR="00163E57" w:rsidRPr="00CF48E3">
        <w:rPr>
          <w:rFonts w:ascii="Dubai" w:hAnsi="Dubai" w:cs="Dubai"/>
          <w:sz w:val="20"/>
          <w:szCs w:val="20"/>
        </w:rPr>
        <w:t>trámite</w:t>
      </w:r>
      <w:r w:rsidRPr="00CF48E3">
        <w:rPr>
          <w:rFonts w:ascii="Dubai" w:hAnsi="Dubai" w:cs="Dubai"/>
          <w:sz w:val="20"/>
          <w:szCs w:val="20"/>
        </w:rPr>
        <w:t xml:space="preserve"> respectico en </w:t>
      </w:r>
      <w:r w:rsidR="00DA12AA" w:rsidRPr="00CF48E3">
        <w:rPr>
          <w:rFonts w:ascii="Dubai" w:hAnsi="Dubai" w:cs="Dubai"/>
          <w:sz w:val="20"/>
          <w:szCs w:val="20"/>
        </w:rPr>
        <w:t>tiempo y</w:t>
      </w:r>
      <w:r w:rsidRPr="00CF48E3">
        <w:rPr>
          <w:rFonts w:ascii="Dubai" w:hAnsi="Dubai" w:cs="Dubai"/>
          <w:sz w:val="20"/>
          <w:szCs w:val="20"/>
        </w:rPr>
        <w:t xml:space="preserve"> forma y además no registren deuda de la tasa de Seguridad, Salubridad e Higiene, tasa por servicios públicos de la partida correspondiente al inmueble donde se desarrolla la actividad y además cuenten con las libretas sanitarias correspondientes, gozaran una bonificación equivalente al 100</w:t>
      </w:r>
      <w:r w:rsidR="00E97EC5" w:rsidRPr="00CF48E3">
        <w:rPr>
          <w:rFonts w:ascii="Dubai" w:hAnsi="Dubai" w:cs="Dubai"/>
          <w:sz w:val="20"/>
          <w:szCs w:val="20"/>
        </w:rPr>
        <w:t>% de la tasa q</w:t>
      </w:r>
      <w:r w:rsidR="00FA04B2" w:rsidRPr="00CF48E3">
        <w:rPr>
          <w:rFonts w:ascii="Dubai" w:hAnsi="Dubai" w:cs="Dubai"/>
          <w:sz w:val="20"/>
          <w:szCs w:val="20"/>
        </w:rPr>
        <w:t>ue</w:t>
      </w:r>
      <w:r w:rsidR="00E97EC5" w:rsidRPr="00CF48E3">
        <w:rPr>
          <w:rFonts w:ascii="Dubai" w:hAnsi="Dubai" w:cs="Dubai"/>
          <w:sz w:val="20"/>
          <w:szCs w:val="20"/>
        </w:rPr>
        <w:t xml:space="preserve"> refiere este capí</w:t>
      </w:r>
      <w:r w:rsidRPr="00CF48E3">
        <w:rPr>
          <w:rFonts w:ascii="Dubai" w:hAnsi="Dubai" w:cs="Dubai"/>
          <w:sz w:val="20"/>
          <w:szCs w:val="20"/>
        </w:rPr>
        <w:t>tulo.</w:t>
      </w:r>
    </w:p>
    <w:p w14:paraId="713C14D3" w14:textId="77777777" w:rsidR="00D9059B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lastRenderedPageBreak/>
        <w:t>Obtenida la habilitación, el responsable deberá exhibir en lugar visible</w:t>
      </w:r>
      <w:r w:rsidR="00E97EC5" w:rsidRPr="00CF48E3">
        <w:rPr>
          <w:rFonts w:ascii="Dubai" w:hAnsi="Dubai" w:cs="Dubai"/>
          <w:sz w:val="20"/>
          <w:szCs w:val="20"/>
        </w:rPr>
        <w:t xml:space="preserve"> de su comercio, industria, vehí</w:t>
      </w:r>
      <w:r w:rsidRPr="00CF48E3">
        <w:rPr>
          <w:rFonts w:ascii="Dubai" w:hAnsi="Dubai" w:cs="Dubai"/>
          <w:sz w:val="20"/>
          <w:szCs w:val="20"/>
        </w:rPr>
        <w:t>culo o servicio, el certificado correspondiente</w:t>
      </w:r>
      <w:r w:rsidR="00D9059B" w:rsidRPr="00CF48E3">
        <w:rPr>
          <w:rFonts w:ascii="Dubai" w:hAnsi="Dubai" w:cs="Dubai"/>
          <w:sz w:val="20"/>
          <w:szCs w:val="20"/>
        </w:rPr>
        <w:t>.</w:t>
      </w:r>
    </w:p>
    <w:p w14:paraId="28F7C569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Adem</w:t>
      </w:r>
      <w:r w:rsidR="00E97EC5" w:rsidRPr="00CF48E3">
        <w:rPr>
          <w:rFonts w:ascii="Dubai" w:hAnsi="Dubai" w:cs="Dubai"/>
          <w:sz w:val="20"/>
          <w:szCs w:val="20"/>
        </w:rPr>
        <w:t>á</w:t>
      </w:r>
      <w:r w:rsidRPr="00CF48E3">
        <w:rPr>
          <w:rFonts w:ascii="Dubai" w:hAnsi="Dubai" w:cs="Dubai"/>
          <w:sz w:val="20"/>
          <w:szCs w:val="20"/>
        </w:rPr>
        <w:t>s de:</w:t>
      </w:r>
    </w:p>
    <w:p w14:paraId="445D1035" w14:textId="77777777" w:rsidR="00AD7AFA" w:rsidRPr="00CF48E3" w:rsidRDefault="00E14D9E" w:rsidP="00AD7AFA">
      <w:pPr>
        <w:pStyle w:val="Prrafodelista"/>
        <w:numPr>
          <w:ilvl w:val="0"/>
          <w:numId w:val="3"/>
        </w:num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Los descuentos por pago adelantado</w:t>
      </w:r>
    </w:p>
    <w:p w14:paraId="41438A89" w14:textId="77777777" w:rsidR="003D123F" w:rsidRPr="00CF48E3" w:rsidRDefault="003D123F" w:rsidP="00AD7AFA">
      <w:pPr>
        <w:pStyle w:val="Prrafodelista"/>
        <w:numPr>
          <w:ilvl w:val="0"/>
          <w:numId w:val="3"/>
        </w:num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Descuento por Buen Contribuyente</w:t>
      </w:r>
    </w:p>
    <w:p w14:paraId="572675F8" w14:textId="77777777" w:rsidR="00E14D9E" w:rsidRPr="00CF48E3" w:rsidRDefault="00E14D9E" w:rsidP="00AD7AFA">
      <w:pPr>
        <w:pStyle w:val="Prrafodelista"/>
        <w:numPr>
          <w:ilvl w:val="0"/>
          <w:numId w:val="3"/>
        </w:num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Lagunas permanentes</w:t>
      </w:r>
    </w:p>
    <w:p w14:paraId="7988A0E1" w14:textId="77777777" w:rsidR="00AD7AFA" w:rsidRPr="00CF48E3" w:rsidRDefault="00E14D9E" w:rsidP="00834C2A">
      <w:pPr>
        <w:pStyle w:val="Prrafodelista"/>
        <w:numPr>
          <w:ilvl w:val="0"/>
          <w:numId w:val="3"/>
        </w:num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Promoción industrial</w:t>
      </w:r>
    </w:p>
    <w:p w14:paraId="0990C643" w14:textId="77777777" w:rsidR="00C325B1" w:rsidRPr="00CF48E3" w:rsidRDefault="003D123F" w:rsidP="00834C2A">
      <w:pPr>
        <w:pStyle w:val="Prrafodelista"/>
        <w:numPr>
          <w:ilvl w:val="0"/>
          <w:numId w:val="3"/>
        </w:num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Exenciones</w:t>
      </w:r>
    </w:p>
    <w:p w14:paraId="1212A8D2" w14:textId="77777777" w:rsidR="008F3FF3" w:rsidRPr="00CF48E3" w:rsidRDefault="008F3FF3" w:rsidP="00834C2A">
      <w:pPr>
        <w:jc w:val="both"/>
        <w:rPr>
          <w:rFonts w:ascii="Dubai" w:hAnsi="Dubai" w:cs="Dubai"/>
          <w:sz w:val="20"/>
          <w:szCs w:val="20"/>
        </w:rPr>
      </w:pPr>
    </w:p>
    <w:p w14:paraId="70E347C5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La metodología para su cuantía fue calcular la pérdida de recaudación en cada tasa por tratamientos diferenciales otorgados.</w:t>
      </w:r>
    </w:p>
    <w:p w14:paraId="5A453558" w14:textId="77777777" w:rsidR="00E14D9E" w:rsidRPr="00CF48E3" w:rsidRDefault="00357DF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L</w:t>
      </w:r>
      <w:r w:rsidR="00E14D9E" w:rsidRPr="00CF48E3">
        <w:rPr>
          <w:rFonts w:ascii="Dubai" w:hAnsi="Dubai" w:cs="Dubai"/>
          <w:sz w:val="20"/>
          <w:szCs w:val="20"/>
        </w:rPr>
        <w:t>a información suminist</w:t>
      </w:r>
      <w:r w:rsidR="00C30F27" w:rsidRPr="00CF48E3">
        <w:rPr>
          <w:rFonts w:ascii="Dubai" w:hAnsi="Dubai" w:cs="Dubai"/>
          <w:sz w:val="20"/>
          <w:szCs w:val="20"/>
        </w:rPr>
        <w:t xml:space="preserve">rada </w:t>
      </w:r>
      <w:r w:rsidR="00E14D9E" w:rsidRPr="00CF48E3">
        <w:rPr>
          <w:rFonts w:ascii="Dubai" w:hAnsi="Dubai" w:cs="Dubai"/>
          <w:sz w:val="20"/>
          <w:szCs w:val="20"/>
        </w:rPr>
        <w:t>por la dirección municipal de rentas es la siguiente: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E14D9E" w:rsidRPr="00CF48E3" w14:paraId="462C7720" w14:textId="77777777" w:rsidTr="00E14D9E">
        <w:tc>
          <w:tcPr>
            <w:tcW w:w="4322" w:type="dxa"/>
          </w:tcPr>
          <w:p w14:paraId="2C1C56A6" w14:textId="77777777" w:rsidR="00E14D9E" w:rsidRPr="00CF48E3" w:rsidRDefault="00E14D9E" w:rsidP="00BB0E36">
            <w:pPr>
              <w:jc w:val="center"/>
              <w:rPr>
                <w:rFonts w:ascii="Dubai" w:hAnsi="Dubai" w:cs="Dubai"/>
                <w:b/>
                <w:sz w:val="20"/>
                <w:szCs w:val="20"/>
              </w:rPr>
            </w:pPr>
            <w:r w:rsidRPr="00CF48E3">
              <w:rPr>
                <w:rFonts w:ascii="Dubai" w:hAnsi="Dubai" w:cs="Dubai"/>
                <w:b/>
                <w:sz w:val="20"/>
                <w:szCs w:val="20"/>
              </w:rPr>
              <w:t>TASA</w:t>
            </w:r>
          </w:p>
        </w:tc>
        <w:tc>
          <w:tcPr>
            <w:tcW w:w="4322" w:type="dxa"/>
          </w:tcPr>
          <w:p w14:paraId="5634E470" w14:textId="77777777" w:rsidR="00E14D9E" w:rsidRPr="00CF48E3" w:rsidRDefault="00E14D9E" w:rsidP="00BB0E36">
            <w:pPr>
              <w:jc w:val="center"/>
              <w:rPr>
                <w:rFonts w:ascii="Dubai" w:hAnsi="Dubai" w:cs="Dubai"/>
                <w:b/>
                <w:sz w:val="20"/>
                <w:szCs w:val="20"/>
              </w:rPr>
            </w:pPr>
            <w:r w:rsidRPr="00CF48E3">
              <w:rPr>
                <w:rFonts w:ascii="Dubai" w:hAnsi="Dubai" w:cs="Dubai"/>
                <w:b/>
                <w:sz w:val="20"/>
                <w:szCs w:val="20"/>
              </w:rPr>
              <w:t>GASTO TRIBUTARIO</w:t>
            </w:r>
          </w:p>
        </w:tc>
      </w:tr>
      <w:tr w:rsidR="00E14D9E" w:rsidRPr="00CF48E3" w14:paraId="114C85DD" w14:textId="77777777" w:rsidTr="00E14D9E">
        <w:tc>
          <w:tcPr>
            <w:tcW w:w="4322" w:type="dxa"/>
          </w:tcPr>
          <w:p w14:paraId="32E2E9AE" w14:textId="77777777" w:rsidR="00E14D9E" w:rsidRPr="00CF48E3" w:rsidRDefault="00E14D9E" w:rsidP="00834C2A">
            <w:pPr>
              <w:jc w:val="both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 xml:space="preserve">SERVICIOS PUBLICOS </w:t>
            </w:r>
          </w:p>
        </w:tc>
        <w:tc>
          <w:tcPr>
            <w:tcW w:w="4322" w:type="dxa"/>
          </w:tcPr>
          <w:p w14:paraId="462B96FF" w14:textId="6336329D" w:rsidR="00E14D9E" w:rsidRPr="00CF48E3" w:rsidRDefault="00943FC0" w:rsidP="00F541E7">
            <w:pPr>
              <w:jc w:val="right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 xml:space="preserve">$ </w:t>
            </w:r>
            <w:r w:rsidR="004D2A52" w:rsidRPr="00CF48E3">
              <w:rPr>
                <w:rFonts w:ascii="Dubai" w:hAnsi="Dubai" w:cs="Dubai"/>
                <w:sz w:val="20"/>
                <w:szCs w:val="20"/>
              </w:rPr>
              <w:t>108</w:t>
            </w:r>
            <w:r w:rsidR="00F541E7" w:rsidRPr="00CF48E3">
              <w:rPr>
                <w:rFonts w:ascii="Dubai" w:hAnsi="Dubai" w:cs="Dubai"/>
                <w:sz w:val="20"/>
                <w:szCs w:val="20"/>
              </w:rPr>
              <w:t>.180</w:t>
            </w:r>
            <w:r w:rsidR="002967C7" w:rsidRPr="00CF48E3">
              <w:rPr>
                <w:rFonts w:ascii="Dubai" w:hAnsi="Dubai" w:cs="Dubai"/>
                <w:sz w:val="20"/>
                <w:szCs w:val="20"/>
              </w:rPr>
              <w:t>.00</w:t>
            </w:r>
            <w:r w:rsidR="003D123F" w:rsidRPr="00CF48E3">
              <w:rPr>
                <w:rFonts w:ascii="Dubai" w:hAnsi="Dubai" w:cs="Dubai"/>
                <w:sz w:val="20"/>
                <w:szCs w:val="20"/>
              </w:rPr>
              <w:t>0,00</w:t>
            </w:r>
          </w:p>
        </w:tc>
      </w:tr>
      <w:tr w:rsidR="00E14D9E" w:rsidRPr="00CF48E3" w14:paraId="27414CAB" w14:textId="77777777" w:rsidTr="00E14D9E">
        <w:tc>
          <w:tcPr>
            <w:tcW w:w="4322" w:type="dxa"/>
          </w:tcPr>
          <w:p w14:paraId="3FB81EDD" w14:textId="77777777" w:rsidR="00E14D9E" w:rsidRPr="00CF48E3" w:rsidRDefault="00E14D9E" w:rsidP="00834C2A">
            <w:pPr>
              <w:jc w:val="both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>VIAL</w:t>
            </w:r>
          </w:p>
        </w:tc>
        <w:tc>
          <w:tcPr>
            <w:tcW w:w="4322" w:type="dxa"/>
          </w:tcPr>
          <w:p w14:paraId="1584EB3D" w14:textId="5401165E" w:rsidR="00E14D9E" w:rsidRPr="00CF48E3" w:rsidRDefault="005C5DEF" w:rsidP="00F541E7">
            <w:pPr>
              <w:jc w:val="right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 xml:space="preserve">$ </w:t>
            </w:r>
            <w:r w:rsidR="004D2A52" w:rsidRPr="00CF48E3">
              <w:rPr>
                <w:rFonts w:ascii="Dubai" w:hAnsi="Dubai" w:cs="Dubai"/>
                <w:sz w:val="20"/>
                <w:szCs w:val="20"/>
              </w:rPr>
              <w:t>72</w:t>
            </w:r>
            <w:r w:rsidR="00F541E7" w:rsidRPr="00CF48E3">
              <w:rPr>
                <w:rFonts w:ascii="Dubai" w:hAnsi="Dubai" w:cs="Dubai"/>
                <w:sz w:val="20"/>
                <w:szCs w:val="20"/>
              </w:rPr>
              <w:t>.568</w:t>
            </w:r>
            <w:r w:rsidR="003D123F" w:rsidRPr="00CF48E3">
              <w:rPr>
                <w:rFonts w:ascii="Dubai" w:hAnsi="Dubai" w:cs="Dubai"/>
                <w:sz w:val="20"/>
                <w:szCs w:val="20"/>
              </w:rPr>
              <w:t>.000,00</w:t>
            </w:r>
          </w:p>
        </w:tc>
      </w:tr>
      <w:tr w:rsidR="00E14D9E" w:rsidRPr="00CF48E3" w14:paraId="031FC067" w14:textId="77777777" w:rsidTr="00E14D9E">
        <w:tc>
          <w:tcPr>
            <w:tcW w:w="4322" w:type="dxa"/>
          </w:tcPr>
          <w:p w14:paraId="0F26F6DE" w14:textId="77777777" w:rsidR="00E14D9E" w:rsidRPr="00CF48E3" w:rsidRDefault="00E14D9E" w:rsidP="00834C2A">
            <w:pPr>
              <w:jc w:val="both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>SEGURIDAD E HIGIENE</w:t>
            </w:r>
          </w:p>
        </w:tc>
        <w:tc>
          <w:tcPr>
            <w:tcW w:w="4322" w:type="dxa"/>
          </w:tcPr>
          <w:p w14:paraId="64D965B5" w14:textId="7FBA07A3" w:rsidR="00E14D9E" w:rsidRPr="00CF48E3" w:rsidRDefault="00943FC0" w:rsidP="00F541E7">
            <w:pPr>
              <w:jc w:val="right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 xml:space="preserve">$ </w:t>
            </w:r>
            <w:r w:rsidR="004D2A52" w:rsidRPr="00CF48E3">
              <w:rPr>
                <w:rFonts w:ascii="Dubai" w:hAnsi="Dubai" w:cs="Dubai"/>
                <w:sz w:val="20"/>
                <w:szCs w:val="20"/>
              </w:rPr>
              <w:t>3</w:t>
            </w:r>
            <w:r w:rsidR="00F541E7" w:rsidRPr="00CF48E3">
              <w:rPr>
                <w:rFonts w:ascii="Dubai" w:hAnsi="Dubai" w:cs="Dubai"/>
                <w:sz w:val="20"/>
                <w:szCs w:val="20"/>
              </w:rPr>
              <w:t>8.900</w:t>
            </w:r>
            <w:r w:rsidR="003D123F" w:rsidRPr="00CF48E3">
              <w:rPr>
                <w:rFonts w:ascii="Dubai" w:hAnsi="Dubai" w:cs="Dubai"/>
                <w:sz w:val="20"/>
                <w:szCs w:val="20"/>
              </w:rPr>
              <w:t>.000,00</w:t>
            </w:r>
          </w:p>
        </w:tc>
      </w:tr>
      <w:tr w:rsidR="00E14D9E" w:rsidRPr="00CF48E3" w14:paraId="1E1992A7" w14:textId="77777777" w:rsidTr="00E14D9E">
        <w:tc>
          <w:tcPr>
            <w:tcW w:w="4322" w:type="dxa"/>
          </w:tcPr>
          <w:p w14:paraId="7424D541" w14:textId="77777777" w:rsidR="00E14D9E" w:rsidRPr="00CF48E3" w:rsidRDefault="00E14D9E" w:rsidP="00834C2A">
            <w:pPr>
              <w:jc w:val="both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>DERECHOS DE CEMENTERIO</w:t>
            </w:r>
          </w:p>
        </w:tc>
        <w:tc>
          <w:tcPr>
            <w:tcW w:w="4322" w:type="dxa"/>
          </w:tcPr>
          <w:p w14:paraId="44161467" w14:textId="5FFB4895" w:rsidR="00E14D9E" w:rsidRPr="00CF48E3" w:rsidRDefault="00943FC0" w:rsidP="00F541E7">
            <w:pPr>
              <w:jc w:val="right"/>
              <w:rPr>
                <w:rFonts w:ascii="Dubai" w:hAnsi="Dubai" w:cs="Dubai"/>
                <w:sz w:val="20"/>
                <w:szCs w:val="20"/>
              </w:rPr>
            </w:pPr>
            <w:r w:rsidRPr="00CF48E3">
              <w:rPr>
                <w:rFonts w:ascii="Dubai" w:hAnsi="Dubai" w:cs="Dubai"/>
                <w:sz w:val="20"/>
                <w:szCs w:val="20"/>
              </w:rPr>
              <w:t xml:space="preserve">$ </w:t>
            </w:r>
            <w:r w:rsidR="004D2A52" w:rsidRPr="00CF48E3">
              <w:rPr>
                <w:rFonts w:ascii="Dubai" w:hAnsi="Dubai" w:cs="Dubai"/>
                <w:sz w:val="20"/>
                <w:szCs w:val="20"/>
              </w:rPr>
              <w:t>2</w:t>
            </w:r>
            <w:r w:rsidR="00F541E7" w:rsidRPr="00CF48E3">
              <w:rPr>
                <w:rFonts w:ascii="Dubai" w:hAnsi="Dubai" w:cs="Dubai"/>
                <w:sz w:val="20"/>
                <w:szCs w:val="20"/>
              </w:rPr>
              <w:t>.550</w:t>
            </w:r>
            <w:r w:rsidR="002967C7" w:rsidRPr="00CF48E3">
              <w:rPr>
                <w:rFonts w:ascii="Dubai" w:hAnsi="Dubai" w:cs="Dubai"/>
                <w:sz w:val="20"/>
                <w:szCs w:val="20"/>
              </w:rPr>
              <w:t>.</w:t>
            </w:r>
            <w:r w:rsidR="00E14D9E" w:rsidRPr="00CF48E3">
              <w:rPr>
                <w:rFonts w:ascii="Dubai" w:hAnsi="Dubai" w:cs="Dubai"/>
                <w:sz w:val="20"/>
                <w:szCs w:val="20"/>
              </w:rPr>
              <w:t>000</w:t>
            </w:r>
            <w:r w:rsidRPr="00CF48E3">
              <w:rPr>
                <w:rFonts w:ascii="Dubai" w:hAnsi="Dubai" w:cs="Dubai"/>
                <w:sz w:val="20"/>
                <w:szCs w:val="20"/>
              </w:rPr>
              <w:t>,00</w:t>
            </w:r>
          </w:p>
        </w:tc>
      </w:tr>
    </w:tbl>
    <w:p w14:paraId="561BE556" w14:textId="77777777" w:rsidR="00E14D9E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</w:p>
    <w:p w14:paraId="5182C226" w14:textId="6399114F" w:rsidR="00FC1099" w:rsidRPr="00CF48E3" w:rsidRDefault="00E14D9E" w:rsidP="00834C2A">
      <w:pPr>
        <w:jc w:val="both"/>
        <w:rPr>
          <w:rFonts w:ascii="Dubai" w:hAnsi="Dubai" w:cs="Dubai"/>
          <w:sz w:val="20"/>
          <w:szCs w:val="20"/>
        </w:rPr>
      </w:pPr>
      <w:r w:rsidRPr="00CF48E3">
        <w:rPr>
          <w:rFonts w:ascii="Dubai" w:hAnsi="Dubai" w:cs="Dubai"/>
          <w:sz w:val="20"/>
          <w:szCs w:val="20"/>
        </w:rPr>
        <w:t>Esto se traduce en que el municipi</w:t>
      </w:r>
      <w:r w:rsidR="005C5DEF" w:rsidRPr="00CF48E3">
        <w:rPr>
          <w:rFonts w:ascii="Dubai" w:hAnsi="Dubai" w:cs="Dubai"/>
          <w:sz w:val="20"/>
          <w:szCs w:val="20"/>
        </w:rPr>
        <w:t>o asume un gasto indirecto de $</w:t>
      </w:r>
      <w:r w:rsidR="004D2A52" w:rsidRPr="00CF48E3">
        <w:rPr>
          <w:rFonts w:ascii="Dubai" w:hAnsi="Dubai" w:cs="Dubai"/>
          <w:sz w:val="20"/>
          <w:szCs w:val="20"/>
        </w:rPr>
        <w:t>222</w:t>
      </w:r>
      <w:r w:rsidR="00F541E7" w:rsidRPr="00CF48E3">
        <w:rPr>
          <w:rFonts w:ascii="Dubai" w:hAnsi="Dubai" w:cs="Dubai"/>
          <w:sz w:val="20"/>
          <w:szCs w:val="20"/>
        </w:rPr>
        <w:t>.198.000</w:t>
      </w:r>
      <w:r w:rsidR="006B6126" w:rsidRPr="00CF48E3">
        <w:rPr>
          <w:rFonts w:ascii="Dubai" w:hAnsi="Dubai" w:cs="Dubai"/>
          <w:sz w:val="20"/>
          <w:szCs w:val="20"/>
        </w:rPr>
        <w:t>,</w:t>
      </w:r>
      <w:r w:rsidRPr="00CF48E3">
        <w:rPr>
          <w:rFonts w:ascii="Dubai" w:hAnsi="Dubai" w:cs="Dubai"/>
          <w:sz w:val="20"/>
          <w:szCs w:val="20"/>
        </w:rPr>
        <w:t xml:space="preserve">00 que se refleja en el presupuesto de recursos como menor recaudación de ingresos no tributarios por beneficios directos a </w:t>
      </w:r>
      <w:r w:rsidR="00DA12AA" w:rsidRPr="00CF48E3">
        <w:rPr>
          <w:rFonts w:ascii="Dubai" w:hAnsi="Dubai" w:cs="Dubai"/>
          <w:sz w:val="20"/>
          <w:szCs w:val="20"/>
        </w:rPr>
        <w:t>contribuyentes. -</w:t>
      </w:r>
    </w:p>
    <w:sectPr w:rsidR="00FC1099" w:rsidRPr="00CF48E3" w:rsidSect="00CF48E3">
      <w:headerReference w:type="default" r:id="rId7"/>
      <w:pgSz w:w="11906" w:h="16838"/>
      <w:pgMar w:top="426" w:right="849" w:bottom="709" w:left="993" w:header="4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E95A" w14:textId="77777777" w:rsidR="000D4FA9" w:rsidRDefault="000D4FA9" w:rsidP="00D9059B">
      <w:pPr>
        <w:spacing w:after="0" w:line="240" w:lineRule="auto"/>
      </w:pPr>
      <w:r>
        <w:separator/>
      </w:r>
    </w:p>
  </w:endnote>
  <w:endnote w:type="continuationSeparator" w:id="0">
    <w:p w14:paraId="17EF1340" w14:textId="77777777" w:rsidR="000D4FA9" w:rsidRDefault="000D4FA9" w:rsidP="00D9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77ECF" w14:textId="77777777" w:rsidR="000D4FA9" w:rsidRDefault="000D4FA9" w:rsidP="00D9059B">
      <w:pPr>
        <w:spacing w:after="0" w:line="240" w:lineRule="auto"/>
      </w:pPr>
      <w:r>
        <w:separator/>
      </w:r>
    </w:p>
  </w:footnote>
  <w:footnote w:type="continuationSeparator" w:id="0">
    <w:p w14:paraId="5F5EEC60" w14:textId="77777777" w:rsidR="000D4FA9" w:rsidRDefault="000D4FA9" w:rsidP="00D9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071" w:type="dxa"/>
      <w:tblLook w:val="04A0" w:firstRow="1" w:lastRow="0" w:firstColumn="1" w:lastColumn="0" w:noHBand="0" w:noVBand="1"/>
    </w:tblPr>
    <w:tblGrid>
      <w:gridCol w:w="1985"/>
      <w:gridCol w:w="11086"/>
    </w:tblGrid>
    <w:tr w:rsidR="009324CA" w:rsidRPr="0010727F" w14:paraId="30878119" w14:textId="77777777" w:rsidTr="00CF48E3">
      <w:trPr>
        <w:trHeight w:val="852"/>
      </w:trPr>
      <w:tc>
        <w:tcPr>
          <w:tcW w:w="1985" w:type="dxa"/>
          <w:shd w:val="clear" w:color="auto" w:fill="auto"/>
        </w:tcPr>
        <w:p w14:paraId="3D1C7A29" w14:textId="77777777" w:rsidR="009324CA" w:rsidRDefault="009324CA" w:rsidP="00CF48E3">
          <w:pPr>
            <w:pStyle w:val="Encabezado"/>
            <w:tabs>
              <w:tab w:val="clear" w:pos="4252"/>
            </w:tabs>
          </w:pPr>
          <w:r>
            <w:rPr>
              <w:noProof/>
              <w:lang w:eastAsia="es-ES"/>
            </w:rPr>
            <w:drawing>
              <wp:inline distT="0" distB="0" distL="0" distR="0" wp14:anchorId="27E33ED7" wp14:editId="53EE90C0">
                <wp:extent cx="657225" cy="714375"/>
                <wp:effectExtent l="19050" t="0" r="9525" b="0"/>
                <wp:docPr id="44280669" name="Imagen 44280669" descr="Membrete 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mbrete 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10593" t="10196" r="11017" b="94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86" w:type="dxa"/>
          <w:vAlign w:val="center"/>
        </w:tcPr>
        <w:p w14:paraId="376B7580" w14:textId="26BF0F28" w:rsidR="009324CA" w:rsidRPr="0010727F" w:rsidRDefault="00B94046" w:rsidP="00CF48E3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  <w:tab w:val="left" w:pos="1230"/>
            </w:tabs>
            <w:spacing w:after="0" w:line="240" w:lineRule="auto"/>
            <w:jc w:val="center"/>
            <w:rPr>
              <w:sz w:val="20"/>
              <w:szCs w:val="20"/>
            </w:rPr>
          </w:pPr>
          <w:r w:rsidRPr="00C46AA8">
            <w:rPr>
              <w:color w:val="A6A6A6" w:themeColor="background1" w:themeShade="A6"/>
              <w:sz w:val="18"/>
              <w:szCs w:val="18"/>
            </w:rPr>
            <w:t xml:space="preserve">"2024 - Año del 75° Aniversario de la gratuidad universitaria en la </w:t>
          </w:r>
          <w:proofErr w:type="gramStart"/>
          <w:r w:rsidRPr="00C46AA8">
            <w:rPr>
              <w:color w:val="A6A6A6" w:themeColor="background1" w:themeShade="A6"/>
              <w:sz w:val="18"/>
              <w:szCs w:val="18"/>
            </w:rPr>
            <w:t>República  Argentina</w:t>
          </w:r>
          <w:proofErr w:type="gramEnd"/>
          <w:r w:rsidRPr="00C46AA8">
            <w:rPr>
              <w:color w:val="A6A6A6" w:themeColor="background1" w:themeShade="A6"/>
              <w:sz w:val="18"/>
              <w:szCs w:val="18"/>
            </w:rPr>
            <w:t>"</w:t>
          </w:r>
          <w:r w:rsidRPr="00F836CF">
            <w:rPr>
              <w:rFonts w:ascii="Dubai" w:hAnsi="Dubai" w:cs="Dubai"/>
              <w:noProof/>
            </w:rPr>
            <w:drawing>
              <wp:anchor distT="0" distB="0" distL="114300" distR="114300" simplePos="0" relativeHeight="251659264" behindDoc="0" locked="0" layoutInCell="1" allowOverlap="1" wp14:anchorId="02F9B430" wp14:editId="6BE4DFDB">
                <wp:simplePos x="0" y="0"/>
                <wp:positionH relativeFrom="column">
                  <wp:posOffset>4686300</wp:posOffset>
                </wp:positionH>
                <wp:positionV relativeFrom="page">
                  <wp:posOffset>-32385</wp:posOffset>
                </wp:positionV>
                <wp:extent cx="478155" cy="494665"/>
                <wp:effectExtent l="0" t="0" r="0" b="635"/>
                <wp:wrapThrough wrapText="bothSides">
                  <wp:wrapPolygon edited="0">
                    <wp:start x="0" y="0"/>
                    <wp:lineTo x="0" y="20796"/>
                    <wp:lineTo x="20653" y="20796"/>
                    <wp:lineTo x="20653" y="0"/>
                    <wp:lineTo x="0" y="0"/>
                  </wp:wrapPolygon>
                </wp:wrapThrough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" cy="494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9706E80" w14:textId="77777777" w:rsidR="00D9059B" w:rsidRDefault="00D9059B">
    <w:pPr>
      <w:pStyle w:val="Encabezado"/>
    </w:pPr>
  </w:p>
  <w:p w14:paraId="494C1D36" w14:textId="77777777" w:rsidR="00D9059B" w:rsidRDefault="00D905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3CBF"/>
    <w:multiLevelType w:val="hybridMultilevel"/>
    <w:tmpl w:val="4CDAD48A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41679C8"/>
    <w:multiLevelType w:val="hybridMultilevel"/>
    <w:tmpl w:val="8B5CC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5A5570"/>
    <w:multiLevelType w:val="hybridMultilevel"/>
    <w:tmpl w:val="DAEABFFC"/>
    <w:lvl w:ilvl="0" w:tplc="0C0A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795052787">
    <w:abstractNumId w:val="0"/>
  </w:num>
  <w:num w:numId="2" w16cid:durableId="439494880">
    <w:abstractNumId w:val="1"/>
  </w:num>
  <w:num w:numId="3" w16cid:durableId="2123762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D9E"/>
    <w:rsid w:val="00006F97"/>
    <w:rsid w:val="00026EE5"/>
    <w:rsid w:val="0005485C"/>
    <w:rsid w:val="0005795E"/>
    <w:rsid w:val="000616D7"/>
    <w:rsid w:val="00072CA4"/>
    <w:rsid w:val="000D4FA9"/>
    <w:rsid w:val="000D7696"/>
    <w:rsid w:val="00114CDE"/>
    <w:rsid w:val="00114EC6"/>
    <w:rsid w:val="00163E57"/>
    <w:rsid w:val="001F38DD"/>
    <w:rsid w:val="001F4993"/>
    <w:rsid w:val="00280F08"/>
    <w:rsid w:val="002967C7"/>
    <w:rsid w:val="003528B2"/>
    <w:rsid w:val="00357DFE"/>
    <w:rsid w:val="00367F88"/>
    <w:rsid w:val="00382A89"/>
    <w:rsid w:val="003B1B09"/>
    <w:rsid w:val="003D123F"/>
    <w:rsid w:val="003D3910"/>
    <w:rsid w:val="00443CF3"/>
    <w:rsid w:val="00451213"/>
    <w:rsid w:val="004A682B"/>
    <w:rsid w:val="004D2A52"/>
    <w:rsid w:val="005143C6"/>
    <w:rsid w:val="005149C3"/>
    <w:rsid w:val="00597430"/>
    <w:rsid w:val="005C5DEF"/>
    <w:rsid w:val="00632487"/>
    <w:rsid w:val="00662FE0"/>
    <w:rsid w:val="00681726"/>
    <w:rsid w:val="006B55CB"/>
    <w:rsid w:val="006B6126"/>
    <w:rsid w:val="006C7783"/>
    <w:rsid w:val="0072285E"/>
    <w:rsid w:val="007948E7"/>
    <w:rsid w:val="007E57C8"/>
    <w:rsid w:val="00804400"/>
    <w:rsid w:val="00834BED"/>
    <w:rsid w:val="00834C2A"/>
    <w:rsid w:val="00863586"/>
    <w:rsid w:val="008B1AB1"/>
    <w:rsid w:val="008F3FF3"/>
    <w:rsid w:val="009324CA"/>
    <w:rsid w:val="009363ED"/>
    <w:rsid w:val="00943FC0"/>
    <w:rsid w:val="009B4EB1"/>
    <w:rsid w:val="00A0417B"/>
    <w:rsid w:val="00A240DE"/>
    <w:rsid w:val="00A32E78"/>
    <w:rsid w:val="00A57027"/>
    <w:rsid w:val="00A77F0D"/>
    <w:rsid w:val="00AA0630"/>
    <w:rsid w:val="00AC7AEB"/>
    <w:rsid w:val="00AD0CFC"/>
    <w:rsid w:val="00AD3ED2"/>
    <w:rsid w:val="00AD7AFA"/>
    <w:rsid w:val="00AE26D7"/>
    <w:rsid w:val="00AF3A3A"/>
    <w:rsid w:val="00B03398"/>
    <w:rsid w:val="00B16961"/>
    <w:rsid w:val="00B94046"/>
    <w:rsid w:val="00BA5A38"/>
    <w:rsid w:val="00BB0E36"/>
    <w:rsid w:val="00BC4A46"/>
    <w:rsid w:val="00BF5DF9"/>
    <w:rsid w:val="00C0335A"/>
    <w:rsid w:val="00C30F27"/>
    <w:rsid w:val="00C325B1"/>
    <w:rsid w:val="00C36E47"/>
    <w:rsid w:val="00C40995"/>
    <w:rsid w:val="00CF48E3"/>
    <w:rsid w:val="00D10125"/>
    <w:rsid w:val="00D67A3C"/>
    <w:rsid w:val="00D822CB"/>
    <w:rsid w:val="00D9059B"/>
    <w:rsid w:val="00DA0C7E"/>
    <w:rsid w:val="00DA12AA"/>
    <w:rsid w:val="00DC6953"/>
    <w:rsid w:val="00E0610B"/>
    <w:rsid w:val="00E14D9E"/>
    <w:rsid w:val="00E5293C"/>
    <w:rsid w:val="00E92C6D"/>
    <w:rsid w:val="00E97EC5"/>
    <w:rsid w:val="00F108AE"/>
    <w:rsid w:val="00F418A2"/>
    <w:rsid w:val="00F541E7"/>
    <w:rsid w:val="00F57C83"/>
    <w:rsid w:val="00F71F1E"/>
    <w:rsid w:val="00FA04B2"/>
    <w:rsid w:val="00FA4728"/>
    <w:rsid w:val="00FC1099"/>
    <w:rsid w:val="00FD43ED"/>
    <w:rsid w:val="00FF6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7DCE61"/>
  <w15:docId w15:val="{D31E9E96-9962-4915-918E-26BAD4696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4D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0C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90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059B"/>
  </w:style>
  <w:style w:type="paragraph" w:styleId="Piedepgina">
    <w:name w:val="footer"/>
    <w:basedOn w:val="Normal"/>
    <w:link w:val="PiedepginaCar"/>
    <w:uiPriority w:val="99"/>
    <w:unhideWhenUsed/>
    <w:rsid w:val="00D905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059B"/>
  </w:style>
  <w:style w:type="paragraph" w:styleId="Prrafodelista">
    <w:name w:val="List Paragraph"/>
    <w:basedOn w:val="Normal"/>
    <w:uiPriority w:val="34"/>
    <w:qFormat/>
    <w:rsid w:val="00AD7AFA"/>
    <w:pPr>
      <w:ind w:left="720"/>
      <w:contextualSpacing/>
    </w:pPr>
  </w:style>
  <w:style w:type="paragraph" w:customStyle="1" w:styleId="Normal1">
    <w:name w:val="Normal1"/>
    <w:rsid w:val="004D2A52"/>
    <w:rPr>
      <w:rFonts w:ascii="Calibri" w:eastAsia="Calibri" w:hAnsi="Calibri" w:cs="Calibri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fdinaldi</dc:creator>
  <cp:lastModifiedBy>Melisa Lafuente</cp:lastModifiedBy>
  <cp:revision>4</cp:revision>
  <cp:lastPrinted>2024-12-06T14:19:00Z</cp:lastPrinted>
  <dcterms:created xsi:type="dcterms:W3CDTF">2024-12-06T15:11:00Z</dcterms:created>
  <dcterms:modified xsi:type="dcterms:W3CDTF">2024-12-06T15:22:00Z</dcterms:modified>
</cp:coreProperties>
</file>